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5E" w:rsidRPr="0005395E" w:rsidRDefault="0005395E" w:rsidP="0005395E">
      <w:pPr>
        <w:spacing w:before="240" w:after="120"/>
        <w:outlineLvl w:val="1"/>
        <w:rPr>
          <w:rFonts w:ascii="HelveticaNeue-Light" w:eastAsia="Times New Roman" w:hAnsi="HelveticaNeue-Light" w:cs="Times New Roman"/>
          <w:b/>
          <w:bCs/>
          <w:color w:val="00004D"/>
          <w:sz w:val="41"/>
          <w:szCs w:val="41"/>
          <w:lang w:eastAsia="it-IT"/>
        </w:rPr>
      </w:pPr>
      <w:r w:rsidRPr="0005395E">
        <w:rPr>
          <w:rFonts w:ascii="HelveticaNeue-Light" w:eastAsia="Times New Roman" w:hAnsi="HelveticaNeue-Light" w:cs="Times New Roman"/>
          <w:b/>
          <w:bCs/>
          <w:color w:val="00004D"/>
          <w:sz w:val="41"/>
          <w:szCs w:val="41"/>
          <w:lang w:eastAsia="it-IT"/>
        </w:rPr>
        <w:t>Informativa sul diritto di accesso civico</w:t>
      </w:r>
    </w:p>
    <w:p w:rsid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b/>
          <w:bCs/>
          <w:color w:val="222222"/>
          <w:sz w:val="22"/>
          <w:szCs w:val="22"/>
          <w:lang w:eastAsia="it-IT"/>
        </w:rPr>
        <w:t>Responsabile della trasparenza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: Dirigente scolastico – 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Luciano Mastrorocco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recapito telefonico: (+39) 035 – 23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93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70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 xml:space="preserve">PEO: 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bgpm010002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@istruzione.it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 xml:space="preserve">PEC: 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bgpm010002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@pec.istruzione.it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 xml:space="preserve">Nome del Responsabile della trasparenza cui è presentata la richiesta di accesso civico, </w:t>
      </w:r>
      <w:proofErr w:type="spellStart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nonchè</w:t>
      </w:r>
      <w:proofErr w:type="spellEnd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 modalità per l’esercizio di tale diritto con indicazione dei recapiti telefonici e delle caselle di posta elettronica istituzionali.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</w:r>
      <w:r w:rsidRPr="0005395E">
        <w:rPr>
          <w:rFonts w:ascii="HelveticaNeue-Light" w:eastAsia="Times New Roman" w:hAnsi="HelveticaNeue-Light" w:cs="Times New Roman"/>
          <w:b/>
          <w:bCs/>
          <w:color w:val="222222"/>
          <w:sz w:val="22"/>
          <w:szCs w:val="22"/>
          <w:lang w:eastAsia="it-IT"/>
        </w:rPr>
        <w:t>Titolare del potere sostitutivo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: Dirigente AT di Bergamo – Patrizia Graziani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>recapito telefonico: (+39) 035-284-214/215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>PEO: usp.bg@istruzione.it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Il D.Lgs.25 maggio 2016 n.97 ha apportato sostanziali modifiche al </w:t>
      </w:r>
      <w:proofErr w:type="spellStart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D.Lgs</w:t>
      </w:r>
      <w:proofErr w:type="spellEnd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 14 marzo 2013, n.33 (Decreto trasparenza), riaffermando il principio generale di trasparenza “intesa come accessibilità totale dei dati e documenti detenuti dalle pubbliche amministrazioni” ed integrando la già affermata finalità di “favorire forme diffuse di controllo sul perseguimento delle funzioni istituzionali e sull’utilizzo delle risorse pubbliche” con l’ulteriore scopo di “tutelare i diritti dei cittadini e di promuovere la partecipazione degli interessati all’attività amministrativa”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La normativa vigente prevede tre differenti modalità di accesso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• Accesso civico “semplice” disciplinato dall’art.5, comma 1, del </w:t>
      </w:r>
      <w:proofErr w:type="spellStart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D.Lgs</w:t>
      </w:r>
      <w:proofErr w:type="spellEnd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 n.33 del 14 marzo 2013, modificato dall’art. 6 del </w:t>
      </w:r>
      <w:proofErr w:type="spellStart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D.Lgs</w:t>
      </w:r>
      <w:proofErr w:type="spellEnd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 n. 97/2016.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 xml:space="preserve">• Accesso civico “generalizzato” disciplinato dall’art.5, comma 2, del D.Lgs.14 marzo 2013 n. 33 come modificato dal </w:t>
      </w:r>
      <w:proofErr w:type="spellStart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D.Lgs</w:t>
      </w:r>
      <w:proofErr w:type="spellEnd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 25 maggio 2016 n. 97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>• Accesso documentale disciplinato dall’art.22 della Legge n.241/1990 e successive modifiche e integrazioni;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L’Accesso civico semplice consente a chiunque di richiedere documenti, le informazioni o i dati, oggetto di pubblicazione obbligatoria secondo le vigenti disposizioni normative, qualora le pubbliche amministrazioni ne abbiano omesso la pubblicazione sul proprio sito istituzionale.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L’Accesso civico generalizzato (o accesso FOIA – </w:t>
      </w:r>
      <w:proofErr w:type="spellStart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Freedom</w:t>
      </w:r>
      <w:proofErr w:type="spellEnd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 of Information </w:t>
      </w:r>
      <w:proofErr w:type="spellStart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Act</w:t>
      </w:r>
      <w:proofErr w:type="spellEnd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) consente a chiunque di richiedere documenti, dati o informazioni ulteriori rispetto a quelli che le amministrazioni sono obbligate a pubblicare nel rispetto dei limiti relativi alla tutela di interessi pubblici e privati giuridicamente rilevanti.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L’Accesso documentale o accesso ai documenti amministrativi di cui alla legge n. 241/1990, invece, è finalizzato alla protezione di un “interesse diretto, concreto e attuale, corrispondente ad una situazione giuridicamente tutelata e collegata al documento al quale è chiesto l’accesso”. Può essere esercitato, pertanto, solo da soggetti portatori di tali interessi e ha per oggetto atti e documenti individuati.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Modalità di esercizio del diritto di accesso civico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lastRenderedPageBreak/>
        <w:t xml:space="preserve">L’istanza di accesso civico è gratuita, non richiede motivazione e deve essere presentata, utilizzando l’apposito modulo, al “Responsabile della trasparenza” del Liceo 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“Paolina Secco </w:t>
      </w:r>
      <w:proofErr w:type="spellStart"/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Suardo</w:t>
      </w:r>
      <w:proofErr w:type="spellEnd"/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”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 – Dirigente Scolastico 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Luciano Mastrorocco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, ad uno dei seguenti indirizzi: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 xml:space="preserve">• PEO: 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bgpm010002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@istruzione.it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 xml:space="preserve">• PEC: 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bgpm010002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@pec.istruzione.it</w:t>
      </w: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br/>
        <w:t xml:space="preserve">• Posta ordinaria: Via </w:t>
      </w:r>
      <w:proofErr w:type="spellStart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A.</w:t>
      </w:r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Maj</w:t>
      </w:r>
      <w:proofErr w:type="spellEnd"/>
      <w:r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, 8 - 24121</w:t>
      </w:r>
      <w:bookmarkStart w:id="0" w:name="_GoBack"/>
      <w:bookmarkEnd w:id="0"/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 xml:space="preserve"> Bergamo – 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Il Responsabile della Trasparenza, ricevuta la richiesta e verificatane la fondatezza, entro trenta giorni, provvede alla pubblicazione sul sito dei dati, documenti, informazioni oggetto dell’istanza, e comunica al richiedente l’avvenuta pubblicazione con l’indicazione del relativo collegamento ipertestuale.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Se quanto richiesto risulta già pubblicato, il Responsabile della Trasparenza comunica al richiedente il relativo collegamento ipertestuale al documento o all’informazione.</w:t>
      </w:r>
    </w:p>
    <w:p w:rsidR="0005395E" w:rsidRPr="0005395E" w:rsidRDefault="0005395E" w:rsidP="0005395E">
      <w:pPr>
        <w:spacing w:before="120" w:after="120" w:line="336" w:lineRule="atLeast"/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</w:pPr>
      <w:r w:rsidRPr="0005395E">
        <w:rPr>
          <w:rFonts w:ascii="HelveticaNeue-Light" w:eastAsia="Times New Roman" w:hAnsi="HelveticaNeue-Light" w:cs="Times New Roman"/>
          <w:color w:val="222222"/>
          <w:sz w:val="22"/>
          <w:szCs w:val="22"/>
          <w:lang w:eastAsia="it-IT"/>
        </w:rPr>
        <w:t>In caso di ritardo o mancata risposta o diniego da parte del Responsabile della Trasparenza nei tempi previsti, il richiedente può ricorrere al Titolare del potere sostitutivo , individuato in base a quanto disposto dall’art.2, co.9-ter della L.241/1990, che conclude il procedimento di accesso civico entro i termini di cui al predetto art. Il Titolare del potere sostitutivo è il Dirigente dell’AT di Bergamo – Patrizia Graziani. La richiesta va inviata all’indirizzo e-mail: usp.bg@istruzione.it</w:t>
      </w:r>
    </w:p>
    <w:p w:rsidR="0005395E" w:rsidRPr="0005395E" w:rsidRDefault="0005395E" w:rsidP="0005395E">
      <w:pPr>
        <w:rPr>
          <w:rFonts w:ascii="Times New Roman" w:eastAsia="Times New Roman" w:hAnsi="Times New Roman" w:cs="Times New Roman"/>
          <w:lang w:eastAsia="it-IT"/>
        </w:rPr>
      </w:pPr>
    </w:p>
    <w:p w:rsidR="001919D1" w:rsidRDefault="0005395E"/>
    <w:sectPr w:rsidR="001919D1" w:rsidSect="00080E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5E"/>
    <w:rsid w:val="0005395E"/>
    <w:rsid w:val="00080ED3"/>
    <w:rsid w:val="00167A62"/>
    <w:rsid w:val="003E0736"/>
    <w:rsid w:val="00D752A7"/>
    <w:rsid w:val="00E51B4B"/>
    <w:rsid w:val="00E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A8FA8"/>
  <w14:defaultImageDpi w14:val="32767"/>
  <w15:chartTrackingRefBased/>
  <w15:docId w15:val="{2EE3D605-2B5B-2C4A-B973-B2FE1DB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539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39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5395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539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Mastrorocco</dc:creator>
  <cp:keywords/>
  <dc:description/>
  <cp:lastModifiedBy>Luciano Mastrorocco</cp:lastModifiedBy>
  <cp:revision>1</cp:revision>
  <dcterms:created xsi:type="dcterms:W3CDTF">2020-02-19T10:12:00Z</dcterms:created>
  <dcterms:modified xsi:type="dcterms:W3CDTF">2020-02-19T10:16:00Z</dcterms:modified>
</cp:coreProperties>
</file>